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35" w:rsidRDefault="00620B35">
      <w:bookmarkStart w:id="0" w:name="_GoBack"/>
      <w:bookmarkEnd w:id="0"/>
    </w:p>
    <w:p w:rsidR="00A4359D" w:rsidRDefault="00A4359D" w:rsidP="00A4359D">
      <w:pPr>
        <w:spacing w:before="450" w:after="225" w:line="645" w:lineRule="atLeast"/>
        <w:jc w:val="center"/>
        <w:outlineLvl w:val="0"/>
        <w:rPr>
          <w:rFonts w:ascii="Palatino Linotype" w:eastAsia="Times New Roman" w:hAnsi="Palatino Linotype" w:cs="Helvetica"/>
          <w:color w:val="333333"/>
          <w:kern w:val="36"/>
          <w:lang w:eastAsia="en-GB"/>
        </w:rPr>
      </w:pPr>
      <w:r>
        <w:rPr>
          <w:rFonts w:ascii="Palatino Linotype" w:eastAsia="Times New Roman" w:hAnsi="Palatino Linotype" w:cs="Helvetica"/>
          <w:noProof/>
          <w:color w:val="333333"/>
          <w:kern w:val="36"/>
          <w:lang w:eastAsia="en-GB"/>
        </w:rPr>
        <w:drawing>
          <wp:inline distT="0" distB="0" distL="0" distR="0" wp14:anchorId="1DD2A752" wp14:editId="3569B574">
            <wp:extent cx="1400175" cy="926877"/>
            <wp:effectExtent l="0" t="0" r="0" b="6985"/>
            <wp:docPr id="1" name="Picture 1" descr="\\scotcourts.local\Home\P\MKaney\Documents\My Pictures\CoS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courts.local\Home\P\MKaney\Documents\My Pictures\CoS Cre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9D" w:rsidRPr="00374E52" w:rsidRDefault="00374E52" w:rsidP="00374E52">
      <w:pPr>
        <w:spacing w:before="450" w:after="225" w:line="645" w:lineRule="atLeast"/>
        <w:outlineLvl w:val="0"/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</w:pPr>
      <w:r w:rsidRPr="00374E52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>Coronavirus Crisis: Guidance on Compliance with</w:t>
      </w:r>
      <w:r w:rsidR="006E05F6" w:rsidRPr="00E03BAA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 xml:space="preserve"> </w:t>
      </w:r>
      <w:r w:rsidR="002F5A48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 xml:space="preserve">Court </w:t>
      </w:r>
      <w:r w:rsidRPr="00374E52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>Orders</w:t>
      </w:r>
      <w:r w:rsidR="00922A29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 xml:space="preserve"> Relating to Parental </w:t>
      </w:r>
      <w:r w:rsidR="00A4359D" w:rsidRPr="00E03BAA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>Responsibilities</w:t>
      </w:r>
      <w:r w:rsidR="00922A29">
        <w:rPr>
          <w:rFonts w:ascii="Palatino Linotype" w:eastAsia="Times New Roman" w:hAnsi="Palatino Linotype" w:cs="Helvetica"/>
          <w:b/>
          <w:color w:val="333333"/>
          <w:kern w:val="36"/>
          <w:sz w:val="32"/>
          <w:lang w:eastAsia="en-GB"/>
        </w:rPr>
        <w:t xml:space="preserve"> and Rights</w:t>
      </w:r>
    </w:p>
    <w:p w:rsidR="00374E52" w:rsidRPr="00374E52" w:rsidRDefault="00EC7972" w:rsidP="00374E52">
      <w:pPr>
        <w:spacing w:after="225" w:line="375" w:lineRule="atLeast"/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</w:pPr>
      <w:r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This short statement is intended to offer general advice to parents </w:t>
      </w:r>
      <w:r w:rsidR="002F5A48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and carers </w:t>
      </w:r>
      <w:r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whose children are the subject of orders made by a court </w:t>
      </w:r>
      <w:r w:rsidR="00E04393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relating to parental</w:t>
      </w:r>
      <w:r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 responsibilities</w:t>
      </w:r>
      <w:r w:rsidR="00E04393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 and rights</w:t>
      </w:r>
      <w:r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, for example in relation to contact or residence. During the current Coronavirus Crisis, it is understandable that there may be some concern regarding how court orders can safely</w:t>
      </w:r>
      <w:r w:rsidR="00BA198F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="002F5A48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be </w:t>
      </w:r>
      <w:r w:rsidR="00BA198F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complied with. </w:t>
      </w:r>
      <w:r w:rsidR="00C92DB5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T</w:t>
      </w:r>
      <w:r w:rsidR="00374E52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he circumstances of eac</w:t>
      </w:r>
      <w:r w:rsidR="00C92DB5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h child and family will differ</w:t>
      </w:r>
      <w:r w:rsidR="003D4E4C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,</w:t>
      </w:r>
      <w:r w:rsidR="00BA198F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 but </w:t>
      </w:r>
      <w:r w:rsidR="002F5A48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the following </w:t>
      </w:r>
      <w:r w:rsidR="00BA198F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 general guidance </w:t>
      </w:r>
      <w:r w:rsidR="002F5A48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suggests </w:t>
      </w:r>
      <w:r w:rsidR="00BA198F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 xml:space="preserve">how to proceed appropriately. </w:t>
      </w:r>
    </w:p>
    <w:p w:rsidR="00374E52" w:rsidRPr="00E03BAA" w:rsidRDefault="00BA198F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Parental r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esponsibility for a child who is the </w:t>
      </w:r>
      <w:r w:rsidR="006E05F6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subject of any </w:t>
      </w:r>
      <w:r w:rsidR="00E04393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order relating to parental 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responsibilities</w:t>
      </w:r>
      <w:r w:rsidR="00E04393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and rights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made </w:t>
      </w:r>
      <w:r w:rsidR="006E05F6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by a Scottish court continues to rest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with the child’s parents </w:t>
      </w:r>
      <w:r w:rsidR="002F5A48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or carers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and not with the court.</w:t>
      </w:r>
    </w:p>
    <w:p w:rsidR="006E05F6" w:rsidRPr="00374E52" w:rsidRDefault="006E05F6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During these unprecedented times, it is expected 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that </w:t>
      </w:r>
      <w:r w:rsidR="002F5A48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all those caring for children 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will </w:t>
      </w:r>
      <w:r w:rsidR="002F5A48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act 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sensibly, safely, and in line with </w:t>
      </w:r>
      <w:hyperlink r:id="rId6" w:history="1">
        <w:r w:rsidRPr="00E03BAA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Scottish Government</w:t>
        </w:r>
      </w:hyperlink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E04393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and </w:t>
      </w:r>
      <w:hyperlink r:id="rId7" w:history="1">
        <w:r w:rsidR="00E04393" w:rsidRPr="00E04393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UK Government</w:t>
        </w:r>
      </w:hyperlink>
      <w:r w:rsidR="00E04393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A4359D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guidance. </w:t>
      </w:r>
    </w:p>
    <w:p w:rsidR="00374E52" w:rsidRPr="00374E52" w:rsidRDefault="00374E52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The</w:t>
      </w:r>
      <w:r w:rsidR="00A4359D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guidance makes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the general position clear: it is no longer permit</w:t>
      </w:r>
      <w:r w:rsidR="00A4359D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ted for a person, including</w:t>
      </w:r>
      <w:r w:rsidR="00BA198F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a child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, to be outside their home for any purpose other than essential shopping, daily exercise, medical need or attending essential work.</w:t>
      </w:r>
    </w:p>
    <w:p w:rsidR="00374E52" w:rsidRPr="00E03BAA" w:rsidRDefault="009E4596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520D10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Specific </w:t>
      </w:r>
      <w:hyperlink r:id="rId8" w:history="1">
        <w:r w:rsidR="00E04393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UK Government</w:t>
        </w:r>
        <w:r w:rsidR="00520D10" w:rsidRPr="00520D10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 xml:space="preserve"> </w:t>
        </w:r>
        <w:r w:rsidRPr="00520D10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guidance</w:t>
        </w:r>
        <w:r w:rsidR="00A726C8" w:rsidRPr="00520D10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 xml:space="preserve"> for families</w:t>
        </w:r>
      </w:hyperlink>
      <w:r w:rsidR="00520D10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establishes an exception to the gen</w:t>
      </w:r>
      <w:r w:rsidR="00520D10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eral </w:t>
      </w:r>
      <w:hyperlink r:id="rId9" w:history="1">
        <w:r w:rsidR="00520D10" w:rsidRPr="00442EEA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stay at home requirement</w:t>
        </w:r>
      </w:hyperlink>
      <w:r w:rsidR="00520D10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for separated families.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It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explains that “</w:t>
      </w:r>
      <w:r w:rsidRPr="00E03BAA">
        <w:rPr>
          <w:rFonts w:ascii="Palatino Linotype" w:hAnsi="Palatino Linotype"/>
          <w:b/>
          <w:color w:val="212529"/>
          <w:sz w:val="21"/>
          <w:szCs w:val="21"/>
          <w:lang w:val="en"/>
        </w:rPr>
        <w:t>If you and your partner live in separate homes but take turns to look after your children, you can continue to do this”.</w:t>
      </w:r>
      <w:r w:rsidR="00A726C8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This 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does not </w:t>
      </w:r>
      <w:r w:rsidR="00A726C8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mean that children </w:t>
      </w:r>
      <w:r w:rsidR="00A726C8" w:rsidRPr="00E03BAA"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en-GB"/>
        </w:rPr>
        <w:t>must </w:t>
      </w:r>
      <w:r w:rsidR="00A726C8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be moved between homes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.</w:t>
      </w:r>
      <w:r w:rsidRPr="00E03BAA">
        <w:rPr>
          <w:rFonts w:ascii="Palatino Linotype" w:hAnsi="Palatino Linotype"/>
          <w:b/>
          <w:color w:val="212529"/>
          <w:sz w:val="21"/>
          <w:szCs w:val="21"/>
          <w:lang w:val="en"/>
        </w:rPr>
        <w:t xml:space="preserve"> </w:t>
      </w:r>
      <w:r w:rsidR="00A726C8" w:rsidRPr="00E03BAA">
        <w:rPr>
          <w:rFonts w:ascii="Palatino Linotype" w:hAnsi="Palatino Linotype"/>
          <w:color w:val="212529"/>
          <w:sz w:val="21"/>
          <w:szCs w:val="21"/>
          <w:lang w:val="en"/>
        </w:rPr>
        <w:t xml:space="preserve">If there is a court order or formal agreement in place, you should </w:t>
      </w:r>
      <w:r w:rsidR="00E04393">
        <w:rPr>
          <w:rFonts w:ascii="Palatino Linotype" w:hAnsi="Palatino Linotype"/>
          <w:color w:val="212529"/>
          <w:sz w:val="21"/>
          <w:szCs w:val="21"/>
          <w:lang w:val="en"/>
        </w:rPr>
        <w:t xml:space="preserve">try to </w:t>
      </w:r>
      <w:r w:rsidR="00A726C8" w:rsidRPr="00E03BAA">
        <w:rPr>
          <w:rFonts w:ascii="Palatino Linotype" w:hAnsi="Palatino Linotype"/>
          <w:color w:val="212529"/>
          <w:sz w:val="21"/>
          <w:szCs w:val="21"/>
          <w:lang w:val="en"/>
        </w:rPr>
        <w:t>stick to the arrang</w:t>
      </w:r>
      <w:r w:rsidR="00E03BAA" w:rsidRPr="00E03BAA">
        <w:rPr>
          <w:rFonts w:ascii="Palatino Linotype" w:hAnsi="Palatino Linotype"/>
          <w:color w:val="212529"/>
          <w:sz w:val="21"/>
          <w:szCs w:val="21"/>
          <w:lang w:val="en"/>
        </w:rPr>
        <w:t>ements it sets out unless you and the other p</w:t>
      </w:r>
      <w:r w:rsidR="002F5A48">
        <w:rPr>
          <w:rFonts w:ascii="Palatino Linotype" w:hAnsi="Palatino Linotype"/>
          <w:color w:val="212529"/>
          <w:sz w:val="21"/>
          <w:szCs w:val="21"/>
          <w:lang w:val="en"/>
        </w:rPr>
        <w:t>erson with parental responsibilities and rights</w:t>
      </w:r>
      <w:r w:rsidR="00442EEA">
        <w:rPr>
          <w:rFonts w:ascii="Palatino Linotype" w:hAnsi="Palatino Linotype"/>
          <w:color w:val="212529"/>
          <w:sz w:val="21"/>
          <w:szCs w:val="21"/>
          <w:lang w:val="en"/>
        </w:rPr>
        <w:t xml:space="preserve"> agree to vary these. </w:t>
      </w:r>
      <w:r w:rsidR="00A726C8" w:rsidRPr="00E03BAA">
        <w:rPr>
          <w:rFonts w:ascii="Palatino Linotype" w:hAnsi="Palatino Linotype"/>
          <w:color w:val="212529"/>
          <w:sz w:val="21"/>
          <w:szCs w:val="21"/>
          <w:lang w:val="en"/>
        </w:rPr>
        <w:t>If you have a more informal arrangement</w:t>
      </w:r>
      <w:r w:rsidR="00E03BAA" w:rsidRPr="00E03BAA">
        <w:rPr>
          <w:rFonts w:ascii="Palatino Linotype" w:hAnsi="Palatino Linotype"/>
          <w:color w:val="212529"/>
          <w:sz w:val="21"/>
          <w:szCs w:val="21"/>
          <w:lang w:val="en"/>
        </w:rPr>
        <w:t xml:space="preserve"> with the other parent</w:t>
      </w:r>
      <w:r w:rsidR="002F5A48">
        <w:rPr>
          <w:rFonts w:ascii="Palatino Linotype" w:hAnsi="Palatino Linotype"/>
          <w:color w:val="212529"/>
          <w:sz w:val="21"/>
          <w:szCs w:val="21"/>
          <w:lang w:val="en"/>
        </w:rPr>
        <w:t xml:space="preserve"> or carer</w:t>
      </w:r>
      <w:r w:rsidR="00E03BAA" w:rsidRPr="00E03BAA">
        <w:rPr>
          <w:rFonts w:ascii="Palatino Linotype" w:hAnsi="Palatino Linotype"/>
          <w:color w:val="212529"/>
          <w:sz w:val="21"/>
          <w:szCs w:val="21"/>
          <w:lang w:val="en"/>
        </w:rPr>
        <w:t>, you should</w:t>
      </w:r>
      <w:r w:rsidR="00A726C8" w:rsidRPr="00E03BAA">
        <w:rPr>
          <w:rFonts w:ascii="Palatino Linotype" w:hAnsi="Palatino Linotype"/>
          <w:color w:val="212529"/>
          <w:sz w:val="21"/>
          <w:szCs w:val="21"/>
          <w:lang w:val="en"/>
        </w:rPr>
        <w:t xml:space="preserve"> discuss how best to approach the situation and make a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decision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on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whet</w:t>
      </w:r>
      <w:r w:rsidR="00442EE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her a child is to move between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homes after a sensible assessment of the circumstances, including the child’s present health, the risk of infection and the presence of any recognised vulnerable individuals in one household or the other.</w:t>
      </w:r>
    </w:p>
    <w:p w:rsidR="00374E52" w:rsidRPr="00374E52" w:rsidRDefault="00A726C8" w:rsidP="00A726C8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lastRenderedPageBreak/>
        <w:t xml:space="preserve">Many people are very worried about Coronavirus and the health of themselves, their children and their extended family. Even if </w:t>
      </w:r>
      <w:r w:rsidR="002F5A48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a 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parent think</w:t>
      </w:r>
      <w:r w:rsidR="00DE16C1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s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it is safe fo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r contact to take place, the other </w:t>
      </w:r>
      <w:r w:rsidR="002F5A4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parent</w:t>
      </w:r>
      <w:r w:rsidR="002F5A48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or carer 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may, entirely 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reason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ably, be concerned about this. At such times, communication between all parties is key to managing the situation and agreeing a sensible, practical solution. </w:t>
      </w:r>
    </w:p>
    <w:p w:rsidR="00374E52" w:rsidRPr="00374E52" w:rsidRDefault="00A726C8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Where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parents, acting in agreement, exercise their parental responsibility to conclude that t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he arrangements set out in a court order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442EE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relating to parental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responsibilities</w:t>
      </w:r>
      <w:r w:rsidR="00442EE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and rights</w:t>
      </w:r>
      <w:r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should be temporarily varied,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they are free to do so. It would be sensible for each parent to record such an agreement in a note, email or text message sent to each other.</w:t>
      </w:r>
    </w:p>
    <w:p w:rsidR="00374E52" w:rsidRPr="00374E52" w:rsidRDefault="00374E52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Where parents do not agree to vary t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he arrangements set out in a court order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, but one parent is sufficiently concer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ned that complying with the court order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wo</w:t>
      </w:r>
      <w:r w:rsidR="00442EE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uld be against current </w:t>
      </w:r>
      <w:r w:rsidR="00A726C8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Government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advice, then that parent may exercise their parental responsibility and vary the arrangement to one that they consider to be safe. If, after the event, the actions of a parent acting on their own in this way are questioned by the </w:t>
      </w:r>
      <w:r w:rsidR="00E03BAA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other parent in court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, the court is likely to look to see whether each parent acted reasonably and sensibl</w:t>
      </w:r>
      <w:r w:rsidR="00E03BAA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y in</w:t>
      </w:r>
      <w:r w:rsidR="00442EE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the light of the </w:t>
      </w:r>
      <w:r w:rsidR="00E03BAA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Government guidance</w:t>
      </w: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 in place at that time, together with any specific evidence relating to the child or family.</w:t>
      </w:r>
    </w:p>
    <w:p w:rsidR="00374E52" w:rsidRPr="00E03BAA" w:rsidRDefault="00442EEA" w:rsidP="00374E52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 xml:space="preserve">Where, either as a result of 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agreement or as a result of one parent on their own varying the arrangements, a child does not get to spend time with the oth</w:t>
      </w:r>
      <w:r w:rsidR="00E03BAA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er parent as set down in the court order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, the courts will expect alternative arrangements to be made to establish and maintain regular contact between the child and the other pare</w:t>
      </w:r>
      <w:r w:rsidR="00E03BAA" w:rsidRPr="00E03BAA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nt safely</w:t>
      </w:r>
      <w:r w:rsidR="00374E52"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, for example remotely – by Face-Time, WhatsApp, Skype, Zoom or other video connection or, if that is not possible, by telephone.</w:t>
      </w:r>
    </w:p>
    <w:p w:rsidR="009E4596" w:rsidRPr="00605D31" w:rsidRDefault="009E4596" w:rsidP="00E03BAA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Palatino Linotype" w:eastAsia="Times New Roman" w:hAnsi="Palatino Linotype" w:cs="Helvetica"/>
          <w:sz w:val="21"/>
          <w:szCs w:val="21"/>
          <w:lang w:eastAsia="en-GB"/>
        </w:rPr>
      </w:pPr>
      <w:r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>Information regarding court hearings</w:t>
      </w:r>
      <w:r w:rsidR="001F7057"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and urgent business</w:t>
      </w:r>
      <w:r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can be found on the </w:t>
      </w:r>
      <w:hyperlink r:id="rId10" w:history="1">
        <w:r w:rsidRPr="00605D31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Scott</w:t>
        </w:r>
        <w:r w:rsidR="00605D31" w:rsidRPr="00605D31">
          <w:rPr>
            <w:rStyle w:val="Hyperlink"/>
            <w:rFonts w:ascii="Palatino Linotype" w:eastAsia="Times New Roman" w:hAnsi="Palatino Linotype" w:cs="Helvetica"/>
            <w:sz w:val="21"/>
            <w:szCs w:val="21"/>
            <w:lang w:eastAsia="en-GB"/>
          </w:rPr>
          <w:t>ish Courts and Tribunal Service</w:t>
        </w:r>
      </w:hyperlink>
      <w:r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website. No non-urgent business is currently being dealt with in court.</w:t>
      </w:r>
      <w:r w:rsidR="000225A3"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</w:t>
      </w:r>
      <w:r w:rsidR="006A259E"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>For the avoidance of doubt</w:t>
      </w:r>
      <w:r w:rsidR="006A259E">
        <w:rPr>
          <w:rFonts w:ascii="Palatino Linotype" w:eastAsia="Times New Roman" w:hAnsi="Palatino Linotype" w:cs="Helvetica"/>
          <w:sz w:val="21"/>
          <w:szCs w:val="21"/>
          <w:lang w:eastAsia="en-GB"/>
        </w:rPr>
        <w:t>, n</w:t>
      </w:r>
      <w:r w:rsid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on-urgent </w:t>
      </w:r>
      <w:r w:rsidR="00605D31">
        <w:rPr>
          <w:rFonts w:ascii="Palatino Linotype" w:hAnsi="Palatino Linotype"/>
          <w:sz w:val="21"/>
          <w:szCs w:val="21"/>
        </w:rPr>
        <w:t>c</w:t>
      </w:r>
      <w:r w:rsidR="00605D31" w:rsidRPr="00605D31">
        <w:rPr>
          <w:rFonts w:ascii="Palatino Linotype" w:hAnsi="Palatino Linotype"/>
          <w:sz w:val="21"/>
          <w:szCs w:val="21"/>
        </w:rPr>
        <w:t>hild welfare hearings ar</w:t>
      </w:r>
      <w:r w:rsidR="00605D31">
        <w:rPr>
          <w:rFonts w:ascii="Palatino Linotype" w:hAnsi="Palatino Linotype"/>
          <w:sz w:val="21"/>
          <w:szCs w:val="21"/>
        </w:rPr>
        <w:t>e not proceeding in court</w:t>
      </w:r>
      <w:r w:rsidR="00605D31" w:rsidRPr="00605D31">
        <w:rPr>
          <w:rFonts w:ascii="Palatino Linotype" w:hAnsi="Palatino Linotype"/>
          <w:sz w:val="21"/>
          <w:szCs w:val="21"/>
        </w:rPr>
        <w:t>. In urgent cases, the court will consider an application for one to be fixed, but will have to be satisfied that it is essential</w:t>
      </w:r>
      <w:r w:rsidR="00605D31" w:rsidRPr="00605D31">
        <w:rPr>
          <w:sz w:val="20"/>
          <w:szCs w:val="20"/>
        </w:rPr>
        <w:t>.</w:t>
      </w:r>
      <w:r w:rsidR="006A259E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For child welfare hearings that do proceed,</w:t>
      </w:r>
      <w:r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the normal rule is that parties must attend child welfare hearings except on cause shown – the Coronavirus Crisis will automatically be accepted as appropriate cause </w:t>
      </w:r>
      <w:r w:rsidR="00F0738B"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shown </w:t>
      </w:r>
      <w:r w:rsidR="006A259E">
        <w:rPr>
          <w:rFonts w:ascii="Palatino Linotype" w:eastAsia="Times New Roman" w:hAnsi="Palatino Linotype" w:cs="Helvetica"/>
          <w:sz w:val="21"/>
          <w:szCs w:val="21"/>
          <w:lang w:eastAsia="en-GB"/>
        </w:rPr>
        <w:t>and parties are not required to</w:t>
      </w:r>
      <w:r w:rsidR="00D12BFD"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 </w:t>
      </w:r>
      <w:r w:rsidRPr="00605D31">
        <w:rPr>
          <w:rFonts w:ascii="Palatino Linotype" w:eastAsia="Times New Roman" w:hAnsi="Palatino Linotype" w:cs="Helvetica"/>
          <w:sz w:val="21"/>
          <w:szCs w:val="21"/>
          <w:lang w:eastAsia="en-GB"/>
        </w:rPr>
        <w:t xml:space="preserve">attend child welfare hearings in person at this time.  </w:t>
      </w:r>
    </w:p>
    <w:p w:rsidR="00E03BAA" w:rsidRDefault="00374E52" w:rsidP="00E03BAA">
      <w:pPr>
        <w:spacing w:after="225" w:line="375" w:lineRule="atLeast"/>
        <w:rPr>
          <w:rFonts w:ascii="Palatino Linotype" w:eastAsia="Times New Roman" w:hAnsi="Palatino Linotype" w:cs="Helvetica"/>
          <w:b/>
          <w:bCs/>
          <w:color w:val="333333"/>
          <w:lang w:eastAsia="en-GB"/>
        </w:rPr>
      </w:pPr>
      <w:r w:rsidRPr="00374E52">
        <w:rPr>
          <w:rFonts w:ascii="Palatino Linotype" w:eastAsia="Times New Roman" w:hAnsi="Palatino Linotype" w:cs="Helvetica"/>
          <w:color w:val="333333"/>
          <w:sz w:val="21"/>
          <w:szCs w:val="21"/>
          <w:lang w:eastAsia="en-GB"/>
        </w:rPr>
        <w:t>.</w:t>
      </w:r>
      <w:r w:rsidR="00E03BAA" w:rsidRPr="00E03BAA">
        <w:rPr>
          <w:rFonts w:ascii="Palatino Linotype" w:eastAsia="Times New Roman" w:hAnsi="Palatino Linotype" w:cs="Helvetica"/>
          <w:b/>
          <w:bCs/>
          <w:color w:val="333333"/>
          <w:lang w:eastAsia="en-GB"/>
        </w:rPr>
        <w:t xml:space="preserve">                                 </w:t>
      </w:r>
    </w:p>
    <w:p w:rsidR="00E03BAA" w:rsidRDefault="003D4E4C" w:rsidP="00E03BAA">
      <w:pPr>
        <w:spacing w:after="225" w:line="375" w:lineRule="atLeast"/>
        <w:rPr>
          <w:rFonts w:ascii="Palatino Linotype" w:eastAsia="Times New Roman" w:hAnsi="Palatino Linotype" w:cs="Helvetica"/>
          <w:color w:val="333333"/>
          <w:lang w:eastAsia="en-GB"/>
        </w:rPr>
      </w:pPr>
      <w:r w:rsidRPr="00E03BAA">
        <w:rPr>
          <w:rFonts w:ascii="Palatino Linotype" w:eastAsia="Times New Roman" w:hAnsi="Palatino Linotype" w:cs="Helvetica"/>
          <w:b/>
          <w:bCs/>
          <w:color w:val="333333"/>
          <w:lang w:eastAsia="en-GB"/>
        </w:rPr>
        <w:t xml:space="preserve">Lord President </w:t>
      </w:r>
    </w:p>
    <w:p w:rsidR="00374E52" w:rsidRPr="00374E52" w:rsidRDefault="003D4E4C" w:rsidP="00E03BAA">
      <w:pPr>
        <w:spacing w:after="225" w:line="375" w:lineRule="atLeast"/>
        <w:rPr>
          <w:rFonts w:ascii="Palatino Linotype" w:eastAsia="Times New Roman" w:hAnsi="Palatino Linotype" w:cs="Helvetica"/>
          <w:color w:val="333333"/>
          <w:lang w:eastAsia="en-GB"/>
        </w:rPr>
      </w:pPr>
      <w:r w:rsidRPr="00E03BAA">
        <w:rPr>
          <w:rFonts w:ascii="Palatino Linotype" w:eastAsia="Times New Roman" w:hAnsi="Palatino Linotype" w:cs="Helvetica"/>
          <w:b/>
          <w:bCs/>
          <w:color w:val="333333"/>
          <w:lang w:eastAsia="en-GB"/>
        </w:rPr>
        <w:t>27</w:t>
      </w:r>
      <w:r w:rsidR="00374E52" w:rsidRPr="00E03BAA">
        <w:rPr>
          <w:rFonts w:ascii="Palatino Linotype" w:eastAsia="Times New Roman" w:hAnsi="Palatino Linotype" w:cs="Helvetica"/>
          <w:b/>
          <w:bCs/>
          <w:color w:val="333333"/>
          <w:lang w:eastAsia="en-GB"/>
        </w:rPr>
        <w:t xml:space="preserve"> March 2020</w:t>
      </w:r>
    </w:p>
    <w:sectPr w:rsidR="00374E52" w:rsidRPr="00374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10D00"/>
    <w:multiLevelType w:val="multilevel"/>
    <w:tmpl w:val="C54E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2"/>
    <w:rsid w:val="000225A3"/>
    <w:rsid w:val="001B4BBE"/>
    <w:rsid w:val="001F7057"/>
    <w:rsid w:val="002F5A48"/>
    <w:rsid w:val="00304782"/>
    <w:rsid w:val="00374E52"/>
    <w:rsid w:val="003D4E4C"/>
    <w:rsid w:val="00442EEA"/>
    <w:rsid w:val="00520D10"/>
    <w:rsid w:val="00605D31"/>
    <w:rsid w:val="00620B35"/>
    <w:rsid w:val="00643DC0"/>
    <w:rsid w:val="006A259E"/>
    <w:rsid w:val="006E05F6"/>
    <w:rsid w:val="00922A29"/>
    <w:rsid w:val="009E4596"/>
    <w:rsid w:val="00A4359D"/>
    <w:rsid w:val="00A726C8"/>
    <w:rsid w:val="00B41E9C"/>
    <w:rsid w:val="00BA198F"/>
    <w:rsid w:val="00C92DB5"/>
    <w:rsid w:val="00D040C5"/>
    <w:rsid w:val="00D12BFD"/>
    <w:rsid w:val="00DE16C1"/>
    <w:rsid w:val="00E03BAA"/>
    <w:rsid w:val="00E04393"/>
    <w:rsid w:val="00EC7972"/>
    <w:rsid w:val="00F031D7"/>
    <w:rsid w:val="00F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5303A-B649-42AC-AC7F-1711D22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4E52"/>
    <w:pPr>
      <w:spacing w:before="450" w:after="225" w:line="645" w:lineRule="atLeast"/>
      <w:outlineLvl w:val="0"/>
    </w:pPr>
    <w:rPr>
      <w:rFonts w:ascii="Open Sans" w:eastAsia="Times New Roman" w:hAnsi="Open Sans" w:cs="Times New Roman"/>
      <w:kern w:val="36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52"/>
    <w:rPr>
      <w:rFonts w:ascii="Open Sans" w:eastAsia="Times New Roman" w:hAnsi="Open Sans" w:cs="Times New Roman"/>
      <w:kern w:val="36"/>
      <w:sz w:val="54"/>
      <w:szCs w:val="54"/>
      <w:lang w:eastAsia="en-GB"/>
    </w:rPr>
  </w:style>
  <w:style w:type="character" w:styleId="Strong">
    <w:name w:val="Strong"/>
    <w:basedOn w:val="DefaultParagraphFont"/>
    <w:uiPriority w:val="22"/>
    <w:qFormat/>
    <w:rsid w:val="00374E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E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7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98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5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club.scot/articles/coronavirus-and-your-fami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cot/coronavirus-covid-1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cotcourts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full-guidance-on-staying-at-home-and-away-from-ot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Kaney, Mariel</dc:creator>
  <cp:lastModifiedBy>Macrae, Christopher</cp:lastModifiedBy>
  <cp:revision>2</cp:revision>
  <dcterms:created xsi:type="dcterms:W3CDTF">2020-03-27T13:52:00Z</dcterms:created>
  <dcterms:modified xsi:type="dcterms:W3CDTF">2020-03-27T13:52:00Z</dcterms:modified>
</cp:coreProperties>
</file>